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 результатах контрольного мероприятия</w:t>
      </w:r>
    </w:p>
    <w:p>
      <w:pPr>
        <w:pStyle w:val="Normal"/>
        <w:widowControl w:val="false"/>
        <w:spacing w:lineRule="auto" w:line="240" w:before="0" w:after="12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Проверка отдельных вопросов финансово-хозяйственной деятельности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i w:val="false"/>
          <w:iCs w:val="false"/>
          <w:sz w:val="26"/>
          <w:szCs w:val="26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Основание для проведения контрольного мероприятия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: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п. 1.4 плана работы контрольно-счетной инспекции Бутурлинского муниципального округа Нижегородской области на 2025 год,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распоряжение Контрольно-счетной инспекции Бутурлинского муниципального округа от 27.06.2025 г. №19-р.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Объект проверки: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Управление 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lang w:val="ru-RU"/>
        </w:rPr>
        <w:t xml:space="preserve">по благоустройству и комплексному содержанию территорий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администрации Бутурлинского муниципального округа Нижегородской области (далее — Управление по благоустройству)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Цель проверки: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- соблюдение законодательст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</w:rPr>
        <w:t>ва в ходе формирования фонда оплаты труда, начисления и выплаты заработной платы;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- соблюдение законности и результативности использования средств бюджета, предоставленных на закупку и установку новогодних украшений.</w:t>
      </w:r>
    </w:p>
    <w:p>
      <w:pPr>
        <w:pStyle w:val="Normal"/>
        <w:widowControl/>
        <w:suppressAutoHyphens w:val="true"/>
        <w:bidi w:val="0"/>
        <w:spacing w:lineRule="auto" w:line="240" w:beforeAutospacing="0" w:before="119" w:after="0"/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 w:val="false"/>
          <w:iCs w:val="false"/>
          <w:color w:val="000000"/>
          <w:sz w:val="26"/>
          <w:szCs w:val="26"/>
        </w:rPr>
        <w:t>Срок проведения контрольного мероприятия: с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«02» июля 2025 года по «31» июля 2025 </w:t>
      </w:r>
      <w:r>
        <w:rPr>
          <w:rFonts w:ascii="Times New Roman" w:hAnsi="Times New Roman"/>
          <w:b w:val="false"/>
          <w:bCs w:val="false"/>
          <w:sz w:val="26"/>
          <w:szCs w:val="26"/>
        </w:rPr>
        <w:t>года.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Проверяемый период деятельности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: с 01.01.2024 по 31.12.2024. 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Метод проверки </w:t>
      </w:r>
      <w:r>
        <w:rPr>
          <w:rFonts w:ascii="Times New Roman" w:hAnsi="Times New Roman"/>
          <w:sz w:val="26"/>
          <w:szCs w:val="26"/>
        </w:rPr>
        <w:t>— выборочный.</w:t>
      </w:r>
    </w:p>
    <w:p>
      <w:pPr>
        <w:pStyle w:val="Normal"/>
        <w:spacing w:lineRule="auto" w:line="240" w:before="176" w:after="57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6"/>
          <w:szCs w:val="26"/>
          <w:shd w:fill="auto" w:val="clear"/>
        </w:rPr>
        <w:t xml:space="preserve">По результатам проверки составлен 1 акт, который подписан без разногласий. </w:t>
      </w:r>
    </w:p>
    <w:p>
      <w:pPr>
        <w:pStyle w:val="Normal"/>
        <w:spacing w:lineRule="auto" w:line="240" w:before="176" w:after="57"/>
        <w:ind w:left="0" w:right="0" w:firstLine="567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position w:val="0"/>
          <w:sz w:val="26"/>
          <w:sz w:val="26"/>
          <w:szCs w:val="26"/>
          <w:u w:val="none"/>
          <w:vertAlign w:val="baseline"/>
        </w:rPr>
        <w:t>Основные нарушения и недостатки, выявленные в ходе контрольного мероприятия:</w:t>
      </w:r>
    </w:p>
    <w:p>
      <w:pPr>
        <w:pStyle w:val="Normal"/>
        <w:pageBreakBefore w:val="false"/>
        <w:tabs>
          <w:tab w:val="clear" w:pos="708"/>
          <w:tab w:val="left" w:pos="2267" w:leader="none"/>
        </w:tabs>
        <w:spacing w:lineRule="auto" w:line="276" w:before="57" w:after="57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6"/>
          <w:szCs w:val="26"/>
          <w:shd w:fill="auto" w:val="clear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val="ru-RU"/>
        </w:rPr>
        <w:t>В нарушение ст. 68 Трудового кодекса РФ, работники учреждения не ознакомлены с  Правилами внутреннего трудового распорядка.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6"/>
          <w:szCs w:val="26"/>
          <w:shd w:fill="auto" w:val="clear"/>
        </w:rPr>
        <w:t xml:space="preserve">2. В нарушение ст.22,136 Трудового кодекса РФ, выплата заработной платы производится Учреждением 15 и 30 числа месяца, что не соответствует датам, установленным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val="ru-RU"/>
        </w:rPr>
        <w:t>Правилами внутреннего трудового распорядка</w:t>
      </w:r>
      <w:r>
        <w:rPr>
          <w:rFonts w:cs="Times New Roman" w:ascii="Times New Roman" w:hAnsi="Times New Roman"/>
          <w:i w:val="false"/>
          <w:iCs w:val="false"/>
          <w:color w:val="000000"/>
          <w:sz w:val="26"/>
          <w:szCs w:val="26"/>
          <w:shd w:fill="auto" w:val="clear"/>
        </w:rPr>
        <w:t>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val="ru-RU"/>
        </w:rPr>
        <w:t>3. В нарушение ст.22,136 Трудового кодекса РФ, выявлен единичный случай нарушения сроков выплаты заработной платы - выплата части заработной платы сотруднику в сумме 15,0 тыс. рублей осуществлена 18.11.2024 (на 3 дня позднее срока, установленного Правилами внутреннего трудового распорядка.).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val="ru-RU"/>
        </w:rPr>
        <w:t xml:space="preserve">4. В нарушение п.2 Положения об особенностях порядка исчисления средней заработной платы, утвержденного Постановлением Правительства РФ от 24.12.2007 № 922 (далее - Положение об особенностях порядка исчисления средней заработной платы), при расчете среднего заработка не учитывались премии и вознаграждения, предусмотренные системой оплаты труда, что привело к неверному расчету отпускных работникам учреждения.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val="ru-RU"/>
        </w:rPr>
        <w:t>5. В нарушении п. 16  Положения об особенностях порядка исчисления средней заработной платы, при повышении в структурном подразделении должностных окладов, средний заработок не индексировался, что привело к неверному расчету отпускных работникам учреждения.</w:t>
      </w:r>
    </w:p>
    <w:p>
      <w:pPr>
        <w:pStyle w:val="Normal"/>
        <w:spacing w:before="0" w:after="29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>6. В нарушение ст.139 Трудового кодекса РФ, в расчет среднего заработка принят период работы сотрудника и начисленные суммы до его принятия на работу.</w:t>
      </w:r>
    </w:p>
    <w:p>
      <w:pPr>
        <w:pStyle w:val="Normal"/>
        <w:spacing w:before="0" w:after="29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lang w:val="ru-RU"/>
        </w:rPr>
        <w:t xml:space="preserve">7.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val="ru-RU"/>
        </w:rPr>
        <w:t xml:space="preserve">В нарушение п. 16 Положения об особенностях порядка исчисления средней заработной платы, выявлен единичный случай повышения среднего заработка  в связи с переводом работника на вновь введенную в штатное расписание должность (п. 16 Положения об особенностях порядка исчисления средней заработной платы предусматривает  повышение среднего заработка в случаях повышения тарифных ставок, окладов в целом по организации (филиалу, структурному подразделению)). </w:t>
      </w:r>
    </w:p>
    <w:p>
      <w:pPr>
        <w:pStyle w:val="Normal"/>
        <w:widowControl w:val="false"/>
        <w:spacing w:lineRule="auto" w:line="240" w:before="114" w:after="114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8. В нарушение ст.22 Федерального закона №44-ФЗ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обоснование цены контракта (договора), заключаемого с единственным поставщиком (подрядчиком, исполнителем), заказчиком не производилось.</w:t>
      </w:r>
    </w:p>
    <w:p>
      <w:pPr>
        <w:pStyle w:val="Normal"/>
        <w:widowControl w:val="false"/>
        <w:spacing w:lineRule="auto" w:line="240" w:before="5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6"/>
          <w:szCs w:val="26"/>
          <w:highlight w:val="white"/>
          <w:shd w:fill="auto" w:val="clear"/>
        </w:rPr>
        <w:t xml:space="preserve">9. Проверкой установлено не корректное составление договора, согласно которому в течение периода с 10 по 25 декабря 2024 должны быть проведены работы по монтажу и демонтажу новогодних иллюминаций, при этом гарантийный срок на выполненные работы установлен до «01» февраля 2025 года. </w:t>
      </w:r>
      <w:r>
        <w:rPr>
          <w:rFonts w:eastAsia="Times New Roman" w:cs="Times New Roman" w:ascii="Times New Roman" w:hAnsi="Times New Roman"/>
          <w:i w:val="false"/>
          <w:iCs w:val="false"/>
          <w:color w:val="000000" w:themeColor="text1"/>
          <w:sz w:val="26"/>
          <w:szCs w:val="26"/>
          <w:highlight w:val="white"/>
          <w:shd w:fill="auto" w:val="clear"/>
        </w:rPr>
        <w:t xml:space="preserve">Согласно объяснительной начальника Управления по благоустройству, демонтажные работы проводились в отношении вышедших из строя иллюминационных украшений прошлых лет, на место которых устанавливались новые. </w:t>
      </w:r>
    </w:p>
    <w:p>
      <w:pPr>
        <w:pStyle w:val="Normal"/>
        <w:spacing w:lineRule="atLeast" w:line="288" w:beforeAutospacing="0" w:before="62" w:after="0"/>
        <w:ind w:left="0" w:right="0" w:firstLine="708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i w:val="false"/>
          <w:iCs w:val="false"/>
          <w:sz w:val="26"/>
          <w:szCs w:val="26"/>
        </w:rPr>
      </w:r>
    </w:p>
    <w:p>
      <w:pPr>
        <w:pStyle w:val="Style7"/>
        <w:spacing w:lineRule="atLeast" w:line="288" w:before="62" w:after="0"/>
        <w:ind w:left="0" w:right="0" w:firstLine="708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По итогам проведенного контрольного мероприятия:</w:t>
      </w:r>
    </w:p>
    <w:p>
      <w:pPr>
        <w:pStyle w:val="Style7"/>
        <w:spacing w:lineRule="atLeast" w:line="288" w:before="62" w:after="0"/>
        <w:ind w:left="0" w:right="0" w:firstLine="708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- в адрес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Управления 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по благоустройству и комплексному содержанию территорий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администрации Бутурлинского муниципального округа направлен акт проверки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;</w:t>
      </w:r>
    </w:p>
    <w:p>
      <w:pPr>
        <w:pStyle w:val="Style7"/>
        <w:spacing w:lineRule="atLeast" w:line="288" w:before="62" w:after="0"/>
        <w:ind w:left="0" w:right="0" w:firstLine="708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-материалы проверки направлены в Прокуратуру Бутурлинского района Нижегородской области.</w:t>
      </w:r>
    </w:p>
    <w:p>
      <w:pPr>
        <w:pStyle w:val="Normal"/>
        <w:tabs>
          <w:tab w:val="clear" w:pos="708"/>
          <w:tab w:val="left" w:pos="2267" w:leader="none"/>
        </w:tabs>
        <w:spacing w:lineRule="auto" w:line="276" w:before="0" w:after="0"/>
        <w:ind w:left="0" w:right="0" w:firstLine="709"/>
        <w:jc w:val="both"/>
        <w:rPr>
          <w:rFonts w:ascii="Times New Roman" w:hAnsi="Times New Roman" w:cs="Times New Roman"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  <w:shd w:fill="auto" w:val="clear"/>
        </w:rPr>
      </w:pPr>
      <w:r>
        <w:rPr>
          <w:rFonts w:cs="Times New Roman" w:ascii="Times New Roman" w:hAnsi="Times New Roman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Контрольно-счетной инспекции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Бутурлинского муниципального округа                                                     Н.Н. Волкова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701" w:right="850" w:gutter="0" w:header="709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Style15"/>
      <w:jc w:val="center"/>
      <w:rPr>
        <w:rFonts w:ascii="Times New Roman" w:hAnsi="Times New Roman" w:eastAsia="Times New Roman" w:cs="Times New Roman"/>
        <w:highlight w:val="none"/>
      </w:rPr>
    </w:pPr>
    <w:r>
      <w:rPr>
        <w:rFonts w:eastAsia="Times New Roman" w:cs="Times New Roman" w:ascii="Times New Roman" w:hAnsi="Times New Roman"/>
      </w:rPr>
      <w:fldChar w:fldCharType="begin"/>
    </w:r>
    <w:r>
      <w:rPr>
        <w:rFonts w:eastAsia="Times New Roman" w:cs="Times New Roman" w:ascii="Times New Roman" w:hAnsi="Times New Roman"/>
      </w:rPr>
      <w:instrText xml:space="preserve"> PAGE </w:instrText>
    </w:r>
    <w:r>
      <w:rPr>
        <w:rFonts w:eastAsia="Times New Roman" w:cs="Times New Roman" w:ascii="Times New Roman" w:hAnsi="Times New Roman"/>
      </w:rPr>
      <w:fldChar w:fldCharType="separate"/>
    </w:r>
    <w:r>
      <w:rPr>
        <w:rFonts w:eastAsia="Times New Roman" w:cs="Times New Roman" w:ascii="Times New Roman" w:hAnsi="Times New Roman"/>
      </w:rPr>
      <w:t>2</w:t>
    </w:r>
    <w:r>
      <w:rPr>
        <w:rFonts w:eastAsia="Times New Roman" w:cs="Times New Roman" w:ascii="Times New Roman" w:hAnsi="Times New Roman"/>
      </w:rPr>
      <w:fldChar w:fldCharType="end"/>
    </w:r>
  </w:p>
  <w:p>
    <w:pPr>
      <w:pStyle w:val="Style1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Style1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3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4">
    <w:name w:val="Font Style34"/>
    <w:qFormat/>
    <w:rPr>
      <w:rFonts w:ascii="Times New Roman" w:hAnsi="Times New Roman"/>
      <w:spacing w:val="10"/>
      <w:sz w:val="24"/>
    </w:rPr>
  </w:style>
  <w:style w:type="character" w:styleId="Style4">
    <w:name w:val="Маркеры"/>
    <w:qFormat/>
    <w:rPr>
      <w:rFonts w:ascii="OpenSymbol" w:hAnsi="OpenSymbol" w:eastAsia="OpenSymbol" w:cs="OpenSymbol"/>
    </w:rPr>
  </w:style>
  <w:style w:type="character" w:styleId="Style5">
    <w:name w:val="FollowedHyperlink"/>
    <w:rPr>
      <w:color w:val="800000"/>
      <w:u w:val="single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Arial Unicode MS"/>
    </w:rPr>
  </w:style>
  <w:style w:type="paragraph" w:styleId="Style9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Style14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5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18">
    <w:name w:val="Index Heading"/>
    <w:basedOn w:val="Style6"/>
    <w:pPr/>
    <w:rPr/>
  </w:style>
  <w:style w:type="paragraph" w:styleId="Style19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Docdata" w:customStyle="1">
    <w:name w:val="docdata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 w:asciiTheme="minorHAnsi" w:cstheme="minorBidi" w:hAnsiTheme="minorHAnsi"/>
      <w:color w:val="auto"/>
      <w:kern w:val="0"/>
      <w:sz w:val="20"/>
      <w:szCs w:val="20"/>
      <w:lang w:val="ru-RU" w:eastAsia="en-US" w:bidi="ar-SA"/>
    </w:rPr>
  </w:style>
  <w:style w:type="paragraph" w:styleId="22">
    <w:name w:val="Стиль2"/>
    <w:basedOn w:val="ConsPlusNormal"/>
    <w:qFormat/>
    <w:pPr>
      <w:widowControl/>
      <w:spacing w:lineRule="auto" w:line="276"/>
      <w:ind w:firstLine="540"/>
      <w:jc w:val="both"/>
    </w:pPr>
    <w:rPr>
      <w:rFonts w:ascii="Cambria" w:hAnsi="Cambria" w:cs="Times New Roman"/>
      <w:sz w:val="24"/>
      <w:szCs w:val="24"/>
      <w:lang w:val="ru-RU"/>
    </w:rPr>
  </w:style>
  <w:style w:type="paragraph" w:styleId="Style22">
    <w:name w:val="Заголовок к тексту"/>
    <w:basedOn w:val="Normal"/>
    <w:next w:val="Style7"/>
    <w:qFormat/>
    <w:pPr>
      <w:spacing w:lineRule="exact" w:line="240" w:before="0" w:after="48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7793</TotalTime>
  <Application>LibreOffice/7.5.0.3$Windows_X86_64 LibreOffice_project/c21113d003cd3efa8c53188764377a8272d9d6de</Application>
  <AppVersion>15.0000</AppVersion>
  <Pages>2</Pages>
  <Words>534</Words>
  <Characters>3886</Characters>
  <CharactersWithSpaces>4461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2025-06-23T17:54:44Z</cp:lastPrinted>
  <dcterms:modified xsi:type="dcterms:W3CDTF">2026-01-12T10:18:09Z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